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277" w:rsidRDefault="00CC2277" w:rsidP="00CC22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 </w:t>
      </w:r>
      <w:r w:rsidR="00EB585D" w:rsidRPr="00EB585D">
        <w:rPr>
          <w:b/>
          <w:noProof/>
          <w:sz w:val="24"/>
          <w:lang w:val="en-US"/>
        </w:rPr>
        <w:t>R2-2001523</w:t>
      </w:r>
      <w:bookmarkStart w:id="0" w:name="_GoBack"/>
      <w:bookmarkEnd w:id="0"/>
    </w:p>
    <w:p w:rsidR="008503D7" w:rsidRPr="00DD73D8" w:rsidRDefault="00CC2277" w:rsidP="00CC2277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b/>
          <w:noProof/>
          <w:sz w:val="24"/>
          <w:lang w:val="en-US"/>
        </w:rPr>
        <w:t>E-meeting, February 24 – March 6, 2020</w:t>
      </w:r>
      <w:r w:rsidR="008503D7">
        <w:rPr>
          <w:rFonts w:eastAsiaTheme="minorEastAsia"/>
          <w:b/>
          <w:sz w:val="24"/>
          <w:lang w:eastAsia="ko-KR"/>
        </w:rPr>
        <w:t xml:space="preserve"> </w:t>
      </w:r>
      <w:r w:rsidR="008503D7">
        <w:rPr>
          <w:rFonts w:eastAsia="DengXian"/>
          <w:b/>
          <w:noProof/>
          <w:sz w:val="24"/>
          <w:lang w:val="en-US" w:eastAsia="ko-KR"/>
        </w:rPr>
        <w:t xml:space="preserve"> </w:t>
      </w:r>
      <w:r w:rsidR="008503D7">
        <w:rPr>
          <w:rFonts w:eastAsia="맑은 고딕" w:hint="eastAsia"/>
          <w:b/>
          <w:noProof/>
          <w:sz w:val="24"/>
          <w:lang w:val="en-US" w:eastAsia="ko-KR"/>
        </w:rPr>
        <w:tab/>
      </w:r>
      <w:r w:rsidR="008503D7">
        <w:rPr>
          <w:rFonts w:eastAsia="맑은 고딕" w:hint="eastAsia"/>
          <w:b/>
          <w:noProof/>
          <w:sz w:val="24"/>
          <w:lang w:val="en-US" w:eastAsia="ko-KR"/>
        </w:rPr>
        <w:tab/>
      </w:r>
      <w:r w:rsidR="008503D7"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16730D" w:rsidRPr="0016730D">
        <w:rPr>
          <w:rFonts w:cs="Arial"/>
          <w:noProof/>
          <w:sz w:val="24"/>
          <w:szCs w:val="24"/>
          <w:lang w:val="en-US" w:eastAsia="ko-KR"/>
        </w:rPr>
        <w:t>6</w:t>
      </w:r>
      <w:r w:rsidRPr="0016730D">
        <w:rPr>
          <w:rFonts w:cs="Arial"/>
          <w:noProof/>
          <w:sz w:val="24"/>
          <w:szCs w:val="24"/>
          <w:lang w:val="en-US" w:eastAsia="ko-KR"/>
        </w:rPr>
        <w:t>.</w:t>
      </w:r>
      <w:r w:rsidR="0016730D" w:rsidRPr="0016730D">
        <w:rPr>
          <w:rFonts w:cs="Arial"/>
          <w:noProof/>
          <w:sz w:val="24"/>
          <w:szCs w:val="24"/>
          <w:lang w:val="en-US" w:eastAsia="ko-KR"/>
        </w:rPr>
        <w:t>1</w:t>
      </w:r>
      <w:r w:rsidR="001539C9" w:rsidRPr="0016730D">
        <w:rPr>
          <w:rFonts w:cs="Arial"/>
          <w:noProof/>
          <w:sz w:val="24"/>
          <w:szCs w:val="24"/>
          <w:lang w:val="en-US" w:eastAsia="ko-KR"/>
        </w:rPr>
        <w:t>.</w:t>
      </w:r>
      <w:r w:rsidR="0016730D" w:rsidRPr="0016730D">
        <w:rPr>
          <w:rFonts w:cs="Arial"/>
          <w:noProof/>
          <w:sz w:val="24"/>
          <w:szCs w:val="24"/>
          <w:lang w:val="en-US" w:eastAsia="ko-KR"/>
        </w:rPr>
        <w:t>5</w:t>
      </w:r>
      <w:r w:rsidR="007740F4" w:rsidRPr="0016730D">
        <w:rPr>
          <w:rFonts w:cs="Arial"/>
          <w:noProof/>
          <w:sz w:val="24"/>
          <w:szCs w:val="24"/>
          <w:lang w:val="en-US" w:eastAsia="ko-KR"/>
        </w:rPr>
        <w:t>.</w:t>
      </w:r>
      <w:r w:rsidR="0016730D" w:rsidRPr="0016730D">
        <w:rPr>
          <w:rFonts w:cs="Arial"/>
          <w:noProof/>
          <w:sz w:val="24"/>
          <w:szCs w:val="24"/>
          <w:lang w:val="en-US" w:eastAsia="ko-KR"/>
        </w:rPr>
        <w:t>3</w:t>
      </w:r>
      <w:r w:rsidRPr="001539C9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A262D4">
        <w:rPr>
          <w:rFonts w:cs="Arial"/>
          <w:noProof/>
          <w:sz w:val="24"/>
          <w:szCs w:val="24"/>
          <w:lang w:val="en-US" w:eastAsia="ko-KR"/>
        </w:rPr>
        <w:t>NR_IAB_Core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LG Electronics </w:t>
      </w:r>
    </w:p>
    <w:p w:rsidR="008C10C3" w:rsidRPr="00D24A18" w:rsidRDefault="008C10C3" w:rsidP="006D6D34">
      <w:pPr>
        <w:tabs>
          <w:tab w:val="left" w:pos="2108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8C6946" w:rsidRPr="0040614D">
        <w:rPr>
          <w:rFonts w:eastAsia="맑은 고딕" w:cs="Arial"/>
          <w:noProof/>
          <w:sz w:val="24"/>
          <w:szCs w:val="24"/>
          <w:lang w:val="en-US" w:eastAsia="ko-KR"/>
        </w:rPr>
        <w:t>A</w:t>
      </w:r>
      <w:r w:rsidR="008C6946">
        <w:rPr>
          <w:rFonts w:eastAsia="맑은 고딕" w:cs="Arial"/>
          <w:noProof/>
          <w:sz w:val="24"/>
          <w:szCs w:val="24"/>
          <w:lang w:val="en-US" w:eastAsia="ko-KR"/>
        </w:rPr>
        <w:t>ccess copntrol in IAB networks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8C6946" w:rsidRDefault="00D320AD" w:rsidP="008C6946">
      <w:pPr>
        <w:rPr>
          <w:rFonts w:eastAsia="맑은 고딕"/>
          <w:iCs/>
          <w:lang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rFonts w:eastAsia="맑은 고딕"/>
          <w:iCs/>
          <w:lang w:eastAsia="ko-KR"/>
        </w:rPr>
        <w:t xml:space="preserve">This paper aims to resolve open issues on access </w:t>
      </w:r>
      <w:r w:rsidR="00B10B3C">
        <w:rPr>
          <w:rFonts w:eastAsia="맑은 고딕"/>
          <w:iCs/>
          <w:lang w:eastAsia="ko-KR"/>
        </w:rPr>
        <w:t xml:space="preserve">restriction in IAB networks. </w:t>
      </w:r>
    </w:p>
    <w:p w:rsidR="00CB0E78" w:rsidRDefault="00CB0E78" w:rsidP="008C10C3">
      <w:pPr>
        <w:pStyle w:val="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Discussion</w:t>
      </w:r>
    </w:p>
    <w:p w:rsidR="004B09BA" w:rsidRDefault="004B09BA" w:rsidP="00CB0E78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the RAN2#108bis meeting, the following agreements on access restriction and access control are made: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E78" w:rsidTr="00CB0E78">
        <w:tc>
          <w:tcPr>
            <w:tcW w:w="9629" w:type="dxa"/>
          </w:tcPr>
          <w:p w:rsidR="00CB0E78" w:rsidRDefault="00CB0E78" w:rsidP="00CB0E78">
            <w:pPr>
              <w:pStyle w:val="Agreement"/>
            </w:pPr>
            <w:r w:rsidRPr="0032260E">
              <w:t>Both support of IAB node(s) and the cell status for IAB node(s) is combined in a single IE</w:t>
            </w:r>
            <w:r>
              <w:t>,</w:t>
            </w:r>
            <w:r w:rsidRPr="0032260E">
              <w:t xml:space="preserve"> i.e. if the IE is present, the cell supports IABs and the cell is also considered as a candidate</w:t>
            </w:r>
            <w:r>
              <w:t xml:space="preserve"> for IABs</w:t>
            </w:r>
            <w:r w:rsidRPr="0032260E">
              <w:t>; if the IE is absent, the cell does not support IAB and/or the cell is barred for IAB</w:t>
            </w:r>
            <w:r>
              <w:t xml:space="preserve">. </w:t>
            </w:r>
          </w:p>
          <w:p w:rsidR="00CB0E78" w:rsidRDefault="00CB0E78" w:rsidP="00CB0E78">
            <w:pPr>
              <w:pStyle w:val="Agreement"/>
            </w:pPr>
            <w:r>
              <w:t>This IE can be provided per PLMN.</w:t>
            </w:r>
          </w:p>
          <w:p w:rsidR="00CB0E78" w:rsidRDefault="00CB0E78" w:rsidP="00CB0E78">
            <w:pPr>
              <w:pStyle w:val="Agreement"/>
            </w:pPr>
            <w:r w:rsidRPr="00983F47">
              <w:t>The case that UEs are barred but IAB nodes are allowed to access shall be supported. FFS</w:t>
            </w:r>
            <w:r>
              <w:t xml:space="preserve"> if this is supported by MIB: CellBarred (i.e. IAB MT ignores the MIB cellBarred when set) or SIB1: CellReservations (i.e. IAB MT ignores SIB cell reservations, or has an access identity that allow access)</w:t>
            </w:r>
          </w:p>
          <w:p w:rsidR="00CB0E78" w:rsidRDefault="00CB0E78" w:rsidP="00CB0E78">
            <w:pPr>
              <w:pStyle w:val="Agreement"/>
            </w:pPr>
            <w:r>
              <w:t>No new</w:t>
            </w:r>
            <w:r w:rsidRPr="00FA0336">
              <w:t xml:space="preserve"> Establishment Cause values </w:t>
            </w:r>
            <w:r>
              <w:t>in RRC Connection Setup are defined.</w:t>
            </w:r>
          </w:p>
          <w:p w:rsidR="00CB0E78" w:rsidRDefault="00CB0E78" w:rsidP="00CB0E78">
            <w:pPr>
              <w:pStyle w:val="Agreement"/>
            </w:pPr>
            <w:r>
              <w:t>No new</w:t>
            </w:r>
            <w:r w:rsidRPr="00FA0336">
              <w:t xml:space="preserve"> </w:t>
            </w:r>
            <w:r>
              <w:t>Re-e</w:t>
            </w:r>
            <w:r w:rsidRPr="00FA0336">
              <w:t xml:space="preserve">stablishment Cause values </w:t>
            </w:r>
            <w:r>
              <w:t>are defined.</w:t>
            </w:r>
          </w:p>
          <w:p w:rsidR="00CB0E78" w:rsidRPr="00CB0E78" w:rsidRDefault="00CB0E78" w:rsidP="00CB0E78">
            <w:pPr>
              <w:rPr>
                <w:rFonts w:eastAsiaTheme="minorEastAsia"/>
                <w:lang w:eastAsia="ko-KR"/>
              </w:rPr>
            </w:pPr>
          </w:p>
        </w:tc>
      </w:tr>
    </w:tbl>
    <w:p w:rsidR="004B09BA" w:rsidRDefault="004B09BA" w:rsidP="00CB0E78">
      <w:pPr>
        <w:rPr>
          <w:rFonts w:eastAsiaTheme="minorEastAsia"/>
          <w:lang w:val="en-US" w:eastAsia="ko-KR"/>
        </w:rPr>
      </w:pPr>
    </w:p>
    <w:p w:rsidR="00CB0E78" w:rsidRDefault="004B09BA" w:rsidP="00CB0E78">
      <w:pPr>
        <w:rPr>
          <w:rFonts w:eastAsiaTheme="minorEastAsia"/>
          <w:u w:val="single"/>
          <w:lang w:val="en-US" w:eastAsia="ko-KR"/>
        </w:rPr>
      </w:pPr>
      <w:r w:rsidRPr="004B09BA">
        <w:rPr>
          <w:rFonts w:eastAsiaTheme="minorEastAsia"/>
          <w:u w:val="single"/>
          <w:lang w:val="en-US" w:eastAsia="ko-KR"/>
        </w:rPr>
        <w:t>Differentiated access restriction for IAB MTs and UEs</w:t>
      </w:r>
    </w:p>
    <w:p w:rsidR="004B09BA" w:rsidRDefault="004B09BA" w:rsidP="004B09BA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Currently two options are on the decision table:</w:t>
      </w:r>
    </w:p>
    <w:p w:rsidR="004B09BA" w:rsidRDefault="004B09BA" w:rsidP="004B09BA">
      <w:pPr>
        <w:pStyle w:val="a5"/>
        <w:numPr>
          <w:ilvl w:val="0"/>
          <w:numId w:val="20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O</w:t>
      </w:r>
      <w:r>
        <w:rPr>
          <w:rFonts w:eastAsiaTheme="minorEastAsia" w:hint="eastAsia"/>
          <w:lang w:val="en-US" w:eastAsia="ko-KR"/>
        </w:rPr>
        <w:t>ption1</w:t>
      </w:r>
      <w:r>
        <w:rPr>
          <w:rFonts w:eastAsiaTheme="minorEastAsia"/>
          <w:lang w:val="en-US" w:eastAsia="ko-KR"/>
        </w:rPr>
        <w:t xml:space="preserve">: </w:t>
      </w:r>
      <w:r w:rsidR="00A06559">
        <w:rPr>
          <w:rFonts w:eastAsiaTheme="minorEastAsia"/>
          <w:lang w:val="en-US" w:eastAsia="ko-KR"/>
        </w:rPr>
        <w:t xml:space="preserve">cellBarred in MIB is used to bar access from UEs. IAB MT ignores this IE.  </w:t>
      </w:r>
    </w:p>
    <w:p w:rsidR="004B09BA" w:rsidRDefault="00A06559" w:rsidP="004B09BA">
      <w:pPr>
        <w:pStyle w:val="a5"/>
        <w:numPr>
          <w:ilvl w:val="0"/>
          <w:numId w:val="20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Option2: cellReservationXXXX IE in SIB1 is used to bar access from UEs. IAB MT ignores this IT. </w:t>
      </w:r>
    </w:p>
    <w:p w:rsidR="00A06559" w:rsidRDefault="00A06559" w:rsidP="00A06559">
      <w:pPr>
        <w:pStyle w:val="a5"/>
        <w:numPr>
          <w:ilvl w:val="1"/>
          <w:numId w:val="20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Option2-1: </w:t>
      </w:r>
      <w:r w:rsidR="00175F3B">
        <w:rPr>
          <w:rFonts w:eastAsiaTheme="minorEastAsia"/>
          <w:lang w:val="en-US" w:eastAsia="ko-KR"/>
        </w:rPr>
        <w:t>IAB MT ignores c</w:t>
      </w:r>
      <w:r>
        <w:rPr>
          <w:rFonts w:eastAsiaTheme="minorEastAsia"/>
          <w:lang w:val="en-US" w:eastAsia="ko-KR"/>
        </w:rPr>
        <w:t>ellReservationForOp</w:t>
      </w:r>
      <w:r w:rsidR="00175F3B">
        <w:rPr>
          <w:rFonts w:eastAsiaTheme="minorEastAsia"/>
          <w:lang w:val="en-US" w:eastAsia="ko-KR"/>
        </w:rPr>
        <w:t>eratorUse IE</w:t>
      </w:r>
    </w:p>
    <w:p w:rsidR="00A06559" w:rsidRDefault="00A06559" w:rsidP="00A06559">
      <w:pPr>
        <w:pStyle w:val="a5"/>
        <w:numPr>
          <w:ilvl w:val="1"/>
          <w:numId w:val="20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Option2-2: </w:t>
      </w:r>
      <w:r w:rsidR="00175F3B">
        <w:rPr>
          <w:rFonts w:eastAsiaTheme="minorEastAsia"/>
          <w:lang w:val="en-US" w:eastAsia="ko-KR"/>
        </w:rPr>
        <w:t xml:space="preserve">IAB MT ignores cellReservationForOtherUse UE.  </w:t>
      </w:r>
    </w:p>
    <w:p w:rsidR="00175F3B" w:rsidRDefault="00175F3B" w:rsidP="00A06559">
      <w:pPr>
        <w:pStyle w:val="a5"/>
        <w:numPr>
          <w:ilvl w:val="1"/>
          <w:numId w:val="20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Option2 assume that cellBarred in MIB is commonly applicable for UEs and IAB MTs. </w:t>
      </w:r>
    </w:p>
    <w:p w:rsidR="00175F3B" w:rsidRDefault="00175F3B" w:rsidP="00A06559">
      <w:pPr>
        <w:rPr>
          <w:rFonts w:eastAsiaTheme="minorEastAsia"/>
          <w:lang w:val="en-US" w:eastAsia="ko-KR"/>
        </w:rPr>
      </w:pPr>
    </w:p>
    <w:p w:rsidR="00A06559" w:rsidRDefault="00175F3B" w:rsidP="00A06559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The important question is whether </w:t>
      </w:r>
      <w:r w:rsidR="00A06559">
        <w:rPr>
          <w:rFonts w:eastAsiaTheme="minorEastAsia" w:hint="eastAsia"/>
          <w:lang w:val="en-US" w:eastAsia="ko-KR"/>
        </w:rPr>
        <w:t xml:space="preserve">cellBarred </w:t>
      </w:r>
      <w:r w:rsidR="00A06559">
        <w:rPr>
          <w:rFonts w:eastAsiaTheme="minorEastAsia"/>
          <w:lang w:val="en-US" w:eastAsia="ko-KR"/>
        </w:rPr>
        <w:t>should</w:t>
      </w:r>
      <w:r w:rsidR="00A06559">
        <w:rPr>
          <w:rFonts w:eastAsiaTheme="minorEastAsia" w:hint="eastAsia"/>
          <w:lang w:val="en-US" w:eastAsia="ko-KR"/>
        </w:rPr>
        <w:t xml:space="preserve"> </w:t>
      </w:r>
      <w:r w:rsidR="00A06559">
        <w:rPr>
          <w:rFonts w:eastAsiaTheme="minorEastAsia"/>
          <w:lang w:val="en-US" w:eastAsia="ko-KR"/>
        </w:rPr>
        <w:t>be applicable to IAB MTs</w:t>
      </w:r>
      <w:r>
        <w:rPr>
          <w:rFonts w:eastAsiaTheme="minorEastAsia"/>
          <w:lang w:val="en-US" w:eastAsia="ko-KR"/>
        </w:rPr>
        <w:t xml:space="preserve">. In our view, the cellBarred IE should be applicable to IAB MT as well, </w:t>
      </w:r>
      <w:r w:rsidR="00A06559">
        <w:rPr>
          <w:rFonts w:eastAsiaTheme="minorEastAsia"/>
          <w:lang w:val="en-US" w:eastAsia="ko-KR"/>
        </w:rPr>
        <w:t xml:space="preserve">because network sets the IE to “barred” only in a very restricted case where any initial access </w:t>
      </w:r>
      <w:r>
        <w:rPr>
          <w:rFonts w:eastAsiaTheme="minorEastAsia"/>
          <w:lang w:val="en-US" w:eastAsia="ko-KR"/>
        </w:rPr>
        <w:t xml:space="preserve">from any kind of devices </w:t>
      </w:r>
      <w:r w:rsidR="00A06559">
        <w:rPr>
          <w:rFonts w:eastAsiaTheme="minorEastAsia"/>
          <w:lang w:val="en-US" w:eastAsia="ko-KR"/>
        </w:rPr>
        <w:t>needs to be strictly prohibited</w:t>
      </w:r>
      <w:r>
        <w:rPr>
          <w:rFonts w:eastAsiaTheme="minorEastAsia"/>
          <w:lang w:val="en-US" w:eastAsia="ko-KR"/>
        </w:rPr>
        <w:t xml:space="preserve"> (i.e. no exception)</w:t>
      </w:r>
      <w:r w:rsidR="00A06559">
        <w:rPr>
          <w:rFonts w:eastAsiaTheme="minorEastAsia"/>
          <w:lang w:val="en-US" w:eastAsia="ko-KR"/>
        </w:rPr>
        <w:t>. Network also sets the IE to “barred” when the cell serves</w:t>
      </w:r>
      <w:r>
        <w:rPr>
          <w:rFonts w:eastAsiaTheme="minorEastAsia"/>
          <w:lang w:val="en-US" w:eastAsia="ko-KR"/>
        </w:rPr>
        <w:t xml:space="preserve"> only</w:t>
      </w:r>
      <w:r w:rsidR="00A06559">
        <w:rPr>
          <w:rFonts w:eastAsiaTheme="minorEastAsia"/>
          <w:lang w:val="en-US" w:eastAsia="ko-KR"/>
        </w:rPr>
        <w:t xml:space="preserve"> for SCell, and in </w:t>
      </w:r>
      <w:r>
        <w:rPr>
          <w:rFonts w:eastAsiaTheme="minorEastAsia"/>
          <w:lang w:val="en-US" w:eastAsia="ko-KR"/>
        </w:rPr>
        <w:t xml:space="preserve">this case IAB MT does not have any benefit from </w:t>
      </w:r>
      <w:r w:rsidR="00A06559">
        <w:rPr>
          <w:rFonts w:eastAsiaTheme="minorEastAsia"/>
          <w:lang w:val="en-US" w:eastAsia="ko-KR"/>
        </w:rPr>
        <w:t>ignor</w:t>
      </w:r>
      <w:r>
        <w:rPr>
          <w:rFonts w:eastAsiaTheme="minorEastAsia"/>
          <w:lang w:val="en-US" w:eastAsia="ko-KR"/>
        </w:rPr>
        <w:t>ing</w:t>
      </w:r>
      <w:r w:rsidR="00A06559">
        <w:rPr>
          <w:rFonts w:eastAsiaTheme="minorEastAsia"/>
          <w:lang w:val="en-US" w:eastAsia="ko-KR"/>
        </w:rPr>
        <w:t xml:space="preserve"> the IE</w:t>
      </w:r>
      <w:r>
        <w:rPr>
          <w:rFonts w:eastAsiaTheme="minorEastAsia"/>
          <w:lang w:val="en-US" w:eastAsia="ko-KR"/>
        </w:rPr>
        <w:t xml:space="preserve"> but just get deprived access after identifying absence of SIB1 from the cell</w:t>
      </w:r>
      <w:r w:rsidR="00A06559">
        <w:rPr>
          <w:rFonts w:eastAsiaTheme="minorEastAsia"/>
          <w:lang w:val="en-US" w:eastAsia="ko-KR"/>
        </w:rPr>
        <w:t>. Hence, we propose</w:t>
      </w:r>
      <w:r>
        <w:rPr>
          <w:rFonts w:eastAsiaTheme="minorEastAsia"/>
          <w:lang w:val="en-US" w:eastAsia="ko-KR"/>
        </w:rPr>
        <w:t xml:space="preserve"> to take option 2 family, leading to the following proposal.   </w:t>
      </w:r>
    </w:p>
    <w:p w:rsidR="00A06559" w:rsidRPr="004B09BA" w:rsidRDefault="00A06559" w:rsidP="00A06559">
      <w:pPr>
        <w:rPr>
          <w:rFonts w:eastAsiaTheme="minorEastAsia"/>
          <w:b/>
          <w:lang w:val="en-US" w:eastAsia="ko-KR"/>
        </w:rPr>
      </w:pPr>
      <w:r w:rsidRPr="004B09BA">
        <w:rPr>
          <w:rFonts w:eastAsiaTheme="minorEastAsia" w:hint="eastAsia"/>
          <w:b/>
          <w:lang w:val="en-US" w:eastAsia="ko-KR"/>
        </w:rPr>
        <w:t>P</w:t>
      </w:r>
      <w:r>
        <w:rPr>
          <w:rFonts w:eastAsiaTheme="minorEastAsia"/>
          <w:b/>
          <w:lang w:val="en-US" w:eastAsia="ko-KR"/>
        </w:rPr>
        <w:t>roposal 1</w:t>
      </w:r>
      <w:r w:rsidRPr="004B09BA">
        <w:rPr>
          <w:rFonts w:eastAsiaTheme="minorEastAsia"/>
          <w:b/>
          <w:lang w:val="en-US" w:eastAsia="ko-KR"/>
        </w:rPr>
        <w:t>: cellBarred</w:t>
      </w:r>
      <w:r>
        <w:rPr>
          <w:rFonts w:eastAsiaTheme="minorEastAsia"/>
          <w:b/>
          <w:lang w:val="en-US" w:eastAsia="ko-KR"/>
        </w:rPr>
        <w:t xml:space="preserve"> in MIB</w:t>
      </w:r>
      <w:r w:rsidRPr="004B09BA">
        <w:rPr>
          <w:rFonts w:eastAsiaTheme="minorEastAsia"/>
          <w:b/>
          <w:lang w:val="en-US" w:eastAsia="ko-KR"/>
        </w:rPr>
        <w:t xml:space="preserve"> is commonly applicable to IAB MTs and UEs</w:t>
      </w:r>
      <w:r>
        <w:rPr>
          <w:rFonts w:eastAsiaTheme="minorEastAsia"/>
          <w:b/>
          <w:lang w:val="en-US" w:eastAsia="ko-KR"/>
        </w:rPr>
        <w:t xml:space="preserve">. </w:t>
      </w:r>
    </w:p>
    <w:p w:rsidR="00A06559" w:rsidRDefault="00A06559" w:rsidP="00A06559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If the proposla1 is agreed, network can bar access from UEs by using cellReservation IEs. There are two separate reservation IEs; cellReservationForOperatorUse</w:t>
      </w:r>
      <w:r w:rsidR="00175F3B">
        <w:rPr>
          <w:rFonts w:eastAsiaTheme="minorEastAsia"/>
          <w:lang w:val="en-US" w:eastAsia="ko-KR"/>
        </w:rPr>
        <w:t xml:space="preserve"> (option 2-1)</w:t>
      </w:r>
      <w:r>
        <w:rPr>
          <w:rFonts w:eastAsiaTheme="minorEastAsia"/>
          <w:lang w:val="en-US" w:eastAsia="ko-KR"/>
        </w:rPr>
        <w:t xml:space="preserve"> and cellReservationForOtherUse</w:t>
      </w:r>
      <w:r w:rsidR="00175F3B">
        <w:rPr>
          <w:rFonts w:eastAsiaTheme="minorEastAsia"/>
          <w:lang w:val="en-US" w:eastAsia="ko-KR"/>
        </w:rPr>
        <w:t xml:space="preserve"> (option 2-2). We think that the cellReservationForOpeatorUse is set to true only when there is a need for some temporary access restriction for operation and management purpose, and the IE is not intended to serve for </w:t>
      </w:r>
      <w:r w:rsidR="00175F3B">
        <w:rPr>
          <w:rFonts w:eastAsiaTheme="minorEastAsia"/>
          <w:lang w:val="en-US" w:eastAsia="ko-KR"/>
        </w:rPr>
        <w:lastRenderedPageBreak/>
        <w:t xml:space="preserve">generic access differentiation purpose. For this reason, we think cellReservationForOtherUse is the proper choice, and propose to take the option 2-2, leading to the following two proposals. </w:t>
      </w:r>
    </w:p>
    <w:p w:rsidR="00A06559" w:rsidRPr="00A06559" w:rsidRDefault="00A06559" w:rsidP="00A06559">
      <w:pPr>
        <w:rPr>
          <w:rFonts w:eastAsiaTheme="minorEastAsia"/>
          <w:lang w:val="en-US" w:eastAsia="ko-KR"/>
        </w:rPr>
      </w:pPr>
    </w:p>
    <w:p w:rsidR="00CB0E78" w:rsidRPr="004B09BA" w:rsidRDefault="00CB0E78" w:rsidP="00CB0E78">
      <w:pPr>
        <w:rPr>
          <w:rFonts w:eastAsiaTheme="minorEastAsia"/>
          <w:b/>
          <w:lang w:val="en-US" w:eastAsia="ko-KR"/>
        </w:rPr>
      </w:pPr>
      <w:r w:rsidRPr="004B09BA">
        <w:rPr>
          <w:rFonts w:eastAsiaTheme="minorEastAsia" w:hint="eastAsia"/>
          <w:b/>
          <w:lang w:val="en-US" w:eastAsia="ko-KR"/>
        </w:rPr>
        <w:t>Proposal</w:t>
      </w:r>
      <w:r w:rsidRPr="004B09BA">
        <w:rPr>
          <w:rFonts w:eastAsiaTheme="minorEastAsia"/>
          <w:b/>
          <w:lang w:val="en-US" w:eastAsia="ko-KR"/>
        </w:rPr>
        <w:t xml:space="preserve"> </w:t>
      </w:r>
      <w:r w:rsidR="00175F3B">
        <w:rPr>
          <w:rFonts w:eastAsiaTheme="minorEastAsia"/>
          <w:b/>
          <w:lang w:val="en-US" w:eastAsia="ko-KR"/>
        </w:rPr>
        <w:t>2</w:t>
      </w:r>
      <w:r w:rsidRPr="004B09BA">
        <w:rPr>
          <w:rFonts w:eastAsiaTheme="minorEastAsia" w:hint="eastAsia"/>
          <w:b/>
          <w:lang w:val="en-US" w:eastAsia="ko-KR"/>
        </w:rPr>
        <w:t xml:space="preserve">: To use </w:t>
      </w:r>
      <w:r w:rsidRPr="004B09BA">
        <w:rPr>
          <w:rFonts w:eastAsiaTheme="minorEastAsia"/>
          <w:b/>
          <w:lang w:val="en-US" w:eastAsia="ko-KR"/>
        </w:rPr>
        <w:t xml:space="preserve">a legacy IE </w:t>
      </w:r>
      <w:r w:rsidRPr="004B09BA">
        <w:rPr>
          <w:rFonts w:eastAsiaTheme="minorEastAsia" w:hint="eastAsia"/>
          <w:b/>
          <w:i/>
          <w:lang w:val="en-US" w:eastAsia="ko-KR"/>
        </w:rPr>
        <w:t>cellReservationForOtherUse</w:t>
      </w:r>
      <w:r w:rsidRPr="004B09BA">
        <w:rPr>
          <w:rFonts w:eastAsiaTheme="minorEastAsia" w:hint="eastAsia"/>
          <w:b/>
          <w:lang w:val="en-US" w:eastAsia="ko-KR"/>
        </w:rPr>
        <w:t xml:space="preserve"> to bar access from </w:t>
      </w:r>
      <w:r w:rsidRPr="004B09BA">
        <w:rPr>
          <w:rFonts w:eastAsiaTheme="minorEastAsia"/>
          <w:b/>
          <w:lang w:val="en-US" w:eastAsia="ko-KR"/>
        </w:rPr>
        <w:t>UEs</w:t>
      </w:r>
    </w:p>
    <w:p w:rsidR="004B09BA" w:rsidRPr="004B09BA" w:rsidRDefault="00CB0E78" w:rsidP="00CB0E78">
      <w:pPr>
        <w:rPr>
          <w:rFonts w:eastAsiaTheme="minorEastAsia"/>
          <w:b/>
          <w:lang w:val="en-US" w:eastAsia="ko-KR"/>
        </w:rPr>
      </w:pPr>
      <w:r w:rsidRPr="004B09BA">
        <w:rPr>
          <w:rFonts w:eastAsiaTheme="minorEastAsia" w:hint="eastAsia"/>
          <w:b/>
          <w:lang w:val="en-US" w:eastAsia="ko-KR"/>
        </w:rPr>
        <w:t>Proposal</w:t>
      </w:r>
      <w:r w:rsidRPr="004B09BA">
        <w:rPr>
          <w:rFonts w:eastAsiaTheme="minorEastAsia"/>
          <w:b/>
          <w:lang w:val="en-US" w:eastAsia="ko-KR"/>
        </w:rPr>
        <w:t xml:space="preserve"> </w:t>
      </w:r>
      <w:r w:rsidR="00175F3B">
        <w:rPr>
          <w:rFonts w:eastAsiaTheme="minorEastAsia"/>
          <w:b/>
          <w:lang w:val="en-US" w:eastAsia="ko-KR"/>
        </w:rPr>
        <w:t>3</w:t>
      </w:r>
      <w:r w:rsidRPr="004B09BA">
        <w:rPr>
          <w:rFonts w:eastAsiaTheme="minorEastAsia"/>
          <w:b/>
          <w:lang w:val="en-US" w:eastAsia="ko-KR"/>
        </w:rPr>
        <w:t xml:space="preserve">: </w:t>
      </w:r>
      <w:r w:rsidR="004B09BA" w:rsidRPr="004B09BA">
        <w:rPr>
          <w:rFonts w:eastAsiaTheme="minorEastAsia"/>
          <w:b/>
          <w:lang w:val="en-US" w:eastAsia="ko-KR"/>
        </w:rPr>
        <w:t xml:space="preserve">To introduce an IAB-support indication in SIB1 and agree on the following access restriction: </w:t>
      </w:r>
    </w:p>
    <w:p w:rsidR="004B09BA" w:rsidRPr="004B09BA" w:rsidRDefault="004B09BA" w:rsidP="004B09BA">
      <w:pPr>
        <w:pStyle w:val="a5"/>
        <w:numPr>
          <w:ilvl w:val="0"/>
          <w:numId w:val="18"/>
        </w:numPr>
        <w:ind w:leftChars="0"/>
        <w:rPr>
          <w:rFonts w:eastAsiaTheme="minorEastAsia"/>
          <w:b/>
          <w:lang w:val="en-US" w:eastAsia="ko-KR"/>
        </w:rPr>
      </w:pPr>
      <w:r w:rsidRPr="004B09BA">
        <w:rPr>
          <w:rFonts w:eastAsiaTheme="minorEastAsia"/>
          <w:b/>
          <w:lang w:val="en-US" w:eastAsia="ko-KR"/>
        </w:rPr>
        <w:t xml:space="preserve">IAB MT considers that a cell is barred if the cell does not broadcast the IAB-support indication. </w:t>
      </w:r>
    </w:p>
    <w:p w:rsidR="00CB0E78" w:rsidRPr="004B09BA" w:rsidRDefault="00CB0E78" w:rsidP="004B09BA">
      <w:pPr>
        <w:pStyle w:val="a5"/>
        <w:numPr>
          <w:ilvl w:val="0"/>
          <w:numId w:val="18"/>
        </w:numPr>
        <w:ind w:leftChars="0"/>
        <w:rPr>
          <w:rFonts w:eastAsiaTheme="minorEastAsia"/>
          <w:b/>
          <w:lang w:val="en-US" w:eastAsia="ko-KR"/>
        </w:rPr>
      </w:pPr>
      <w:r w:rsidRPr="004B09BA">
        <w:rPr>
          <w:rFonts w:eastAsiaTheme="minorEastAsia"/>
          <w:b/>
          <w:lang w:val="en-US" w:eastAsia="ko-KR"/>
        </w:rPr>
        <w:t xml:space="preserve">IAB MT considers that a cell is not barred if the cell </w:t>
      </w:r>
      <w:r w:rsidR="004B09BA" w:rsidRPr="004B09BA">
        <w:rPr>
          <w:rFonts w:eastAsiaTheme="minorEastAsia"/>
          <w:b/>
          <w:lang w:val="en-US" w:eastAsia="ko-KR"/>
        </w:rPr>
        <w:t xml:space="preserve">broadcasts an IAB-support indication, irrespective of </w:t>
      </w:r>
      <w:r w:rsidR="004B09BA" w:rsidRPr="004B09BA">
        <w:rPr>
          <w:rFonts w:eastAsiaTheme="minorEastAsia" w:hint="eastAsia"/>
          <w:b/>
          <w:i/>
          <w:lang w:val="en-US" w:eastAsia="ko-KR"/>
        </w:rPr>
        <w:t>cellReservationForOtherUse</w:t>
      </w:r>
    </w:p>
    <w:p w:rsidR="00CB0E78" w:rsidRDefault="00CB0E78" w:rsidP="00CB0E78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Note that this approach does not allow UEs to access the cell </w:t>
      </w:r>
      <w:r w:rsidR="00175F3B">
        <w:rPr>
          <w:rFonts w:eastAsiaTheme="minorEastAsia"/>
          <w:lang w:val="en-US" w:eastAsia="ko-KR"/>
        </w:rPr>
        <w:t xml:space="preserve">even </w:t>
      </w:r>
      <w:r>
        <w:rPr>
          <w:rFonts w:eastAsiaTheme="minorEastAsia"/>
          <w:lang w:val="en-US" w:eastAsia="ko-KR"/>
        </w:rPr>
        <w:t>for emergency services</w:t>
      </w:r>
      <w:r w:rsidR="00175F3B">
        <w:rPr>
          <w:rFonts w:eastAsiaTheme="minorEastAsia"/>
          <w:lang w:val="en-US" w:eastAsia="ko-KR"/>
        </w:rPr>
        <w:t xml:space="preserve">, but we believe this is not an issue because network can choose to set </w:t>
      </w:r>
      <w:r w:rsidR="00175F3B" w:rsidRPr="00175F3B">
        <w:rPr>
          <w:rFonts w:eastAsiaTheme="minorEastAsia"/>
          <w:i/>
          <w:lang w:val="en-US" w:eastAsia="ko-KR"/>
        </w:rPr>
        <w:t>cellReservationForOpeatorUse</w:t>
      </w:r>
      <w:r w:rsidR="00175F3B">
        <w:rPr>
          <w:rFonts w:eastAsiaTheme="minorEastAsia"/>
          <w:lang w:val="en-US" w:eastAsia="ko-KR"/>
        </w:rPr>
        <w:t xml:space="preserve"> to not true whenever it want. </w:t>
      </w:r>
    </w:p>
    <w:p w:rsidR="00CB0E78" w:rsidRPr="00CB0E78" w:rsidRDefault="00CB0E78" w:rsidP="00CB0E78">
      <w:pPr>
        <w:rPr>
          <w:rFonts w:eastAsiaTheme="minorEastAsia"/>
          <w:lang w:val="en-US" w:eastAsia="ko-KR"/>
        </w:rPr>
      </w:pPr>
    </w:p>
    <w:p w:rsidR="00467B22" w:rsidRPr="00467B22" w:rsidRDefault="00467B22" w:rsidP="008C6946">
      <w:pPr>
        <w:rPr>
          <w:rFonts w:eastAsia="SimSun"/>
          <w:b/>
          <w:lang w:val="en-US"/>
        </w:rPr>
      </w:pPr>
    </w:p>
    <w:p w:rsidR="00EA7F31" w:rsidRPr="008C6946" w:rsidRDefault="00EA7F31" w:rsidP="005A4ABD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0A34F6" w:rsidP="008C10C3">
      <w:pPr>
        <w:pStyle w:val="1"/>
      </w:pPr>
      <w:bookmarkStart w:id="6" w:name="_Toc450908196"/>
      <w:bookmarkStart w:id="7" w:name="_In-sequence_SDU_delivery"/>
      <w:bookmarkEnd w:id="6"/>
      <w:bookmarkEnd w:id="7"/>
      <w:r>
        <w:t>Conclusion</w:t>
      </w:r>
    </w:p>
    <w:p w:rsidR="008C6946" w:rsidRDefault="008C6946" w:rsidP="008C6946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In conclusion, we </w:t>
      </w:r>
      <w:r w:rsidR="000A34F6">
        <w:rPr>
          <w:rFonts w:eastAsia="맑은 고딕"/>
          <w:iCs/>
          <w:lang w:eastAsia="ko-KR"/>
        </w:rPr>
        <w:t xml:space="preserve">would like RAN2 to agree on the following proposals: </w:t>
      </w:r>
    </w:p>
    <w:p w:rsidR="000A34F6" w:rsidRPr="004B09BA" w:rsidRDefault="000A34F6" w:rsidP="000A34F6">
      <w:pPr>
        <w:rPr>
          <w:rFonts w:eastAsiaTheme="minorEastAsia"/>
          <w:b/>
          <w:lang w:val="en-US" w:eastAsia="ko-KR"/>
        </w:rPr>
      </w:pPr>
      <w:r w:rsidRPr="004B09BA">
        <w:rPr>
          <w:rFonts w:eastAsiaTheme="minorEastAsia" w:hint="eastAsia"/>
          <w:b/>
          <w:lang w:val="en-US" w:eastAsia="ko-KR"/>
        </w:rPr>
        <w:t>P</w:t>
      </w:r>
      <w:r>
        <w:rPr>
          <w:rFonts w:eastAsiaTheme="minorEastAsia"/>
          <w:b/>
          <w:lang w:val="en-US" w:eastAsia="ko-KR"/>
        </w:rPr>
        <w:t>roposal 1</w:t>
      </w:r>
      <w:r w:rsidRPr="004B09BA">
        <w:rPr>
          <w:rFonts w:eastAsiaTheme="minorEastAsia"/>
          <w:b/>
          <w:lang w:val="en-US" w:eastAsia="ko-KR"/>
        </w:rPr>
        <w:t>: cellBarred</w:t>
      </w:r>
      <w:r>
        <w:rPr>
          <w:rFonts w:eastAsiaTheme="minorEastAsia"/>
          <w:b/>
          <w:lang w:val="en-US" w:eastAsia="ko-KR"/>
        </w:rPr>
        <w:t xml:space="preserve"> in MIB</w:t>
      </w:r>
      <w:r w:rsidRPr="004B09BA">
        <w:rPr>
          <w:rFonts w:eastAsiaTheme="minorEastAsia"/>
          <w:b/>
          <w:lang w:val="en-US" w:eastAsia="ko-KR"/>
        </w:rPr>
        <w:t xml:space="preserve"> is commonly applicable to IAB MTs and UEs</w:t>
      </w:r>
      <w:r>
        <w:rPr>
          <w:rFonts w:eastAsiaTheme="minorEastAsia"/>
          <w:b/>
          <w:lang w:val="en-US" w:eastAsia="ko-KR"/>
        </w:rPr>
        <w:t xml:space="preserve">. </w:t>
      </w:r>
    </w:p>
    <w:p w:rsidR="000A34F6" w:rsidRPr="004B09BA" w:rsidRDefault="000A34F6" w:rsidP="000A34F6">
      <w:pPr>
        <w:rPr>
          <w:rFonts w:eastAsiaTheme="minorEastAsia"/>
          <w:b/>
          <w:lang w:val="en-US" w:eastAsia="ko-KR"/>
        </w:rPr>
      </w:pPr>
      <w:r w:rsidRPr="004B09BA">
        <w:rPr>
          <w:rFonts w:eastAsiaTheme="minorEastAsia" w:hint="eastAsia"/>
          <w:b/>
          <w:lang w:val="en-US" w:eastAsia="ko-KR"/>
        </w:rPr>
        <w:t>Proposal</w:t>
      </w:r>
      <w:r w:rsidRPr="004B09BA">
        <w:rPr>
          <w:rFonts w:eastAsiaTheme="minorEastAsia"/>
          <w:b/>
          <w:lang w:val="en-US" w:eastAsia="ko-KR"/>
        </w:rPr>
        <w:t xml:space="preserve"> </w:t>
      </w:r>
      <w:r>
        <w:rPr>
          <w:rFonts w:eastAsiaTheme="minorEastAsia"/>
          <w:b/>
          <w:lang w:val="en-US" w:eastAsia="ko-KR"/>
        </w:rPr>
        <w:t>2</w:t>
      </w:r>
      <w:r w:rsidRPr="004B09BA">
        <w:rPr>
          <w:rFonts w:eastAsiaTheme="minorEastAsia" w:hint="eastAsia"/>
          <w:b/>
          <w:lang w:val="en-US" w:eastAsia="ko-KR"/>
        </w:rPr>
        <w:t xml:space="preserve">: To use </w:t>
      </w:r>
      <w:r w:rsidRPr="004B09BA">
        <w:rPr>
          <w:rFonts w:eastAsiaTheme="minorEastAsia"/>
          <w:b/>
          <w:lang w:val="en-US" w:eastAsia="ko-KR"/>
        </w:rPr>
        <w:t xml:space="preserve">a legacy IE </w:t>
      </w:r>
      <w:r w:rsidRPr="004B09BA">
        <w:rPr>
          <w:rFonts w:eastAsiaTheme="minorEastAsia" w:hint="eastAsia"/>
          <w:b/>
          <w:i/>
          <w:lang w:val="en-US" w:eastAsia="ko-KR"/>
        </w:rPr>
        <w:t>cellReservationForOtherUse</w:t>
      </w:r>
      <w:r w:rsidRPr="004B09BA">
        <w:rPr>
          <w:rFonts w:eastAsiaTheme="minorEastAsia" w:hint="eastAsia"/>
          <w:b/>
          <w:lang w:val="en-US" w:eastAsia="ko-KR"/>
        </w:rPr>
        <w:t xml:space="preserve"> to bar access from </w:t>
      </w:r>
      <w:r w:rsidRPr="004B09BA">
        <w:rPr>
          <w:rFonts w:eastAsiaTheme="minorEastAsia"/>
          <w:b/>
          <w:lang w:val="en-US" w:eastAsia="ko-KR"/>
        </w:rPr>
        <w:t>UEs</w:t>
      </w:r>
    </w:p>
    <w:p w:rsidR="000A34F6" w:rsidRPr="004B09BA" w:rsidRDefault="000A34F6" w:rsidP="000A34F6">
      <w:pPr>
        <w:rPr>
          <w:rFonts w:eastAsiaTheme="minorEastAsia"/>
          <w:b/>
          <w:lang w:val="en-US" w:eastAsia="ko-KR"/>
        </w:rPr>
      </w:pPr>
      <w:r w:rsidRPr="004B09BA">
        <w:rPr>
          <w:rFonts w:eastAsiaTheme="minorEastAsia" w:hint="eastAsia"/>
          <w:b/>
          <w:lang w:val="en-US" w:eastAsia="ko-KR"/>
        </w:rPr>
        <w:t>Proposal</w:t>
      </w:r>
      <w:r w:rsidRPr="004B09BA">
        <w:rPr>
          <w:rFonts w:eastAsiaTheme="minorEastAsia"/>
          <w:b/>
          <w:lang w:val="en-US" w:eastAsia="ko-KR"/>
        </w:rPr>
        <w:t xml:space="preserve"> </w:t>
      </w:r>
      <w:r>
        <w:rPr>
          <w:rFonts w:eastAsiaTheme="minorEastAsia"/>
          <w:b/>
          <w:lang w:val="en-US" w:eastAsia="ko-KR"/>
        </w:rPr>
        <w:t>3</w:t>
      </w:r>
      <w:r w:rsidRPr="004B09BA">
        <w:rPr>
          <w:rFonts w:eastAsiaTheme="minorEastAsia"/>
          <w:b/>
          <w:lang w:val="en-US" w:eastAsia="ko-KR"/>
        </w:rPr>
        <w:t xml:space="preserve">: To introduce an IAB-support indication in SIB1 and agree on the following access restriction: </w:t>
      </w:r>
    </w:p>
    <w:p w:rsidR="000A34F6" w:rsidRPr="004B09BA" w:rsidRDefault="000A34F6" w:rsidP="000A34F6">
      <w:pPr>
        <w:pStyle w:val="a5"/>
        <w:numPr>
          <w:ilvl w:val="0"/>
          <w:numId w:val="18"/>
        </w:numPr>
        <w:ind w:leftChars="0"/>
        <w:rPr>
          <w:rFonts w:eastAsiaTheme="minorEastAsia"/>
          <w:b/>
          <w:lang w:val="en-US" w:eastAsia="ko-KR"/>
        </w:rPr>
      </w:pPr>
      <w:r w:rsidRPr="004B09BA">
        <w:rPr>
          <w:rFonts w:eastAsiaTheme="minorEastAsia"/>
          <w:b/>
          <w:lang w:val="en-US" w:eastAsia="ko-KR"/>
        </w:rPr>
        <w:t xml:space="preserve">IAB MT considers that a cell is barred if the cell does not broadcast </w:t>
      </w:r>
      <w:r w:rsidR="00AF2C1B">
        <w:rPr>
          <w:rFonts w:eastAsiaTheme="minorEastAsia"/>
          <w:b/>
          <w:lang w:val="en-US" w:eastAsia="ko-KR"/>
        </w:rPr>
        <w:t>an</w:t>
      </w:r>
      <w:r w:rsidRPr="004B09BA">
        <w:rPr>
          <w:rFonts w:eastAsiaTheme="minorEastAsia"/>
          <w:b/>
          <w:lang w:val="en-US" w:eastAsia="ko-KR"/>
        </w:rPr>
        <w:t xml:space="preserve"> IAB-support indication. </w:t>
      </w:r>
    </w:p>
    <w:p w:rsidR="000A34F6" w:rsidRPr="004B09BA" w:rsidRDefault="000A34F6" w:rsidP="000A34F6">
      <w:pPr>
        <w:pStyle w:val="a5"/>
        <w:numPr>
          <w:ilvl w:val="0"/>
          <w:numId w:val="18"/>
        </w:numPr>
        <w:ind w:leftChars="0"/>
        <w:rPr>
          <w:rFonts w:eastAsiaTheme="minorEastAsia"/>
          <w:b/>
          <w:lang w:val="en-US" w:eastAsia="ko-KR"/>
        </w:rPr>
      </w:pPr>
      <w:r w:rsidRPr="004B09BA">
        <w:rPr>
          <w:rFonts w:eastAsiaTheme="minorEastAsia"/>
          <w:b/>
          <w:lang w:val="en-US" w:eastAsia="ko-KR"/>
        </w:rPr>
        <w:t xml:space="preserve">IAB MT considers that a cell is not barred if the cell broadcasts an IAB-support indication, irrespective of </w:t>
      </w:r>
      <w:r w:rsidRPr="004B09BA">
        <w:rPr>
          <w:rFonts w:eastAsiaTheme="minorEastAsia" w:hint="eastAsia"/>
          <w:b/>
          <w:i/>
          <w:lang w:val="en-US" w:eastAsia="ko-KR"/>
        </w:rPr>
        <w:t>cellReservationForOtherUse</w:t>
      </w:r>
    </w:p>
    <w:p w:rsidR="00A82EB8" w:rsidRPr="000A34F6" w:rsidRDefault="00A82EB8" w:rsidP="00A82EB8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sectPr w:rsidR="00A82EB8" w:rsidRPr="000A34F6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E30" w:rsidRDefault="00AA4E30">
      <w:pPr>
        <w:spacing w:after="0"/>
      </w:pPr>
      <w:r>
        <w:separator/>
      </w:r>
    </w:p>
  </w:endnote>
  <w:endnote w:type="continuationSeparator" w:id="0">
    <w:p w:rsidR="00AA4E30" w:rsidRDefault="00AA4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AA4E3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E30" w:rsidRDefault="00AA4E30">
      <w:pPr>
        <w:spacing w:after="0"/>
      </w:pPr>
      <w:r>
        <w:separator/>
      </w:r>
    </w:p>
  </w:footnote>
  <w:footnote w:type="continuationSeparator" w:id="0">
    <w:p w:rsidR="00AA4E30" w:rsidRDefault="00AA4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919"/>
    <w:multiLevelType w:val="hybridMultilevel"/>
    <w:tmpl w:val="79B244E4"/>
    <w:lvl w:ilvl="0" w:tplc="2EEA2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47D45"/>
    <w:multiLevelType w:val="hybridMultilevel"/>
    <w:tmpl w:val="7E98F51C"/>
    <w:lvl w:ilvl="0" w:tplc="ADBEE5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41759A"/>
    <w:multiLevelType w:val="hybridMultilevel"/>
    <w:tmpl w:val="98FA3D5A"/>
    <w:lvl w:ilvl="0" w:tplc="C8FABD96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47BFF"/>
    <w:multiLevelType w:val="hybridMultilevel"/>
    <w:tmpl w:val="22DA880C"/>
    <w:lvl w:ilvl="0" w:tplc="EAAA41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DD24CD"/>
    <w:multiLevelType w:val="hybridMultilevel"/>
    <w:tmpl w:val="ABAA0C2E"/>
    <w:lvl w:ilvl="0" w:tplc="D854C5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75011F"/>
    <w:multiLevelType w:val="hybridMultilevel"/>
    <w:tmpl w:val="61A08FA2"/>
    <w:lvl w:ilvl="0" w:tplc="8E80612C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0EB2F57"/>
    <w:multiLevelType w:val="hybridMultilevel"/>
    <w:tmpl w:val="543C18D8"/>
    <w:lvl w:ilvl="0" w:tplc="C254B5D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D13DD6"/>
    <w:multiLevelType w:val="hybridMultilevel"/>
    <w:tmpl w:val="5E7AF3D2"/>
    <w:lvl w:ilvl="0" w:tplc="60A4059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623AF3"/>
    <w:multiLevelType w:val="hybridMultilevel"/>
    <w:tmpl w:val="C1C05FFE"/>
    <w:lvl w:ilvl="0" w:tplc="3E407CFE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CC750BC"/>
    <w:multiLevelType w:val="hybridMultilevel"/>
    <w:tmpl w:val="287C9202"/>
    <w:lvl w:ilvl="0" w:tplc="2C040F1C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DE2551A"/>
    <w:multiLevelType w:val="hybridMultilevel"/>
    <w:tmpl w:val="A2F8A81E"/>
    <w:lvl w:ilvl="0" w:tplc="06F07310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E88166C"/>
    <w:multiLevelType w:val="hybridMultilevel"/>
    <w:tmpl w:val="C798C386"/>
    <w:lvl w:ilvl="0" w:tplc="64F44B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6"/>
  </w:num>
  <w:num w:numId="5">
    <w:abstractNumId w:val="19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17"/>
  </w:num>
  <w:num w:numId="12">
    <w:abstractNumId w:val="6"/>
  </w:num>
  <w:num w:numId="13">
    <w:abstractNumId w:val="2"/>
  </w:num>
  <w:num w:numId="14">
    <w:abstractNumId w:val="14"/>
  </w:num>
  <w:num w:numId="15">
    <w:abstractNumId w:val="10"/>
  </w:num>
  <w:num w:numId="16">
    <w:abstractNumId w:val="7"/>
  </w:num>
  <w:num w:numId="17">
    <w:abstractNumId w:val="18"/>
  </w:num>
  <w:num w:numId="18">
    <w:abstractNumId w:val="11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4F87"/>
    <w:rsid w:val="00006F0F"/>
    <w:rsid w:val="00012D79"/>
    <w:rsid w:val="00022BF0"/>
    <w:rsid w:val="00025E10"/>
    <w:rsid w:val="000314F2"/>
    <w:rsid w:val="00033F90"/>
    <w:rsid w:val="00036148"/>
    <w:rsid w:val="0004197C"/>
    <w:rsid w:val="00047728"/>
    <w:rsid w:val="0006221C"/>
    <w:rsid w:val="00065B45"/>
    <w:rsid w:val="000819E8"/>
    <w:rsid w:val="00083ABA"/>
    <w:rsid w:val="00092A77"/>
    <w:rsid w:val="00094E5F"/>
    <w:rsid w:val="000A34F6"/>
    <w:rsid w:val="000C1185"/>
    <w:rsid w:val="000C6D03"/>
    <w:rsid w:val="000D7090"/>
    <w:rsid w:val="000E715E"/>
    <w:rsid w:val="000F0D23"/>
    <w:rsid w:val="00106C02"/>
    <w:rsid w:val="00107412"/>
    <w:rsid w:val="00131637"/>
    <w:rsid w:val="00137204"/>
    <w:rsid w:val="001539C9"/>
    <w:rsid w:val="00156D94"/>
    <w:rsid w:val="001600D4"/>
    <w:rsid w:val="001652AF"/>
    <w:rsid w:val="0016730D"/>
    <w:rsid w:val="00174234"/>
    <w:rsid w:val="00175F3B"/>
    <w:rsid w:val="001A7E0A"/>
    <w:rsid w:val="001B4CA9"/>
    <w:rsid w:val="001D0DAD"/>
    <w:rsid w:val="001E6FE6"/>
    <w:rsid w:val="001F03B0"/>
    <w:rsid w:val="001F09BA"/>
    <w:rsid w:val="001F6213"/>
    <w:rsid w:val="001F64E0"/>
    <w:rsid w:val="002254F8"/>
    <w:rsid w:val="0025422F"/>
    <w:rsid w:val="00262106"/>
    <w:rsid w:val="002719B0"/>
    <w:rsid w:val="00272580"/>
    <w:rsid w:val="00290EB7"/>
    <w:rsid w:val="002925FD"/>
    <w:rsid w:val="002A12D3"/>
    <w:rsid w:val="002A5B06"/>
    <w:rsid w:val="002A7473"/>
    <w:rsid w:val="002B7E5A"/>
    <w:rsid w:val="002C051B"/>
    <w:rsid w:val="002C16FF"/>
    <w:rsid w:val="002C3C46"/>
    <w:rsid w:val="002C4A5E"/>
    <w:rsid w:val="002E233C"/>
    <w:rsid w:val="002E41FE"/>
    <w:rsid w:val="0032657B"/>
    <w:rsid w:val="00346862"/>
    <w:rsid w:val="0034772A"/>
    <w:rsid w:val="003516A5"/>
    <w:rsid w:val="003529DD"/>
    <w:rsid w:val="003538D2"/>
    <w:rsid w:val="003620EB"/>
    <w:rsid w:val="003751A5"/>
    <w:rsid w:val="00385E04"/>
    <w:rsid w:val="0039141E"/>
    <w:rsid w:val="003A45EB"/>
    <w:rsid w:val="003A7AAD"/>
    <w:rsid w:val="003C161C"/>
    <w:rsid w:val="003D3BFF"/>
    <w:rsid w:val="003E14FB"/>
    <w:rsid w:val="003F59B7"/>
    <w:rsid w:val="004004E1"/>
    <w:rsid w:val="0040614D"/>
    <w:rsid w:val="00407C34"/>
    <w:rsid w:val="0042331E"/>
    <w:rsid w:val="00443F50"/>
    <w:rsid w:val="00444838"/>
    <w:rsid w:val="0045512E"/>
    <w:rsid w:val="00456E19"/>
    <w:rsid w:val="00462BA2"/>
    <w:rsid w:val="00466983"/>
    <w:rsid w:val="00467B22"/>
    <w:rsid w:val="0047762B"/>
    <w:rsid w:val="0049044F"/>
    <w:rsid w:val="004A777D"/>
    <w:rsid w:val="004B09BA"/>
    <w:rsid w:val="004B09DA"/>
    <w:rsid w:val="004B5545"/>
    <w:rsid w:val="004C6A82"/>
    <w:rsid w:val="004E0AEA"/>
    <w:rsid w:val="004E24F1"/>
    <w:rsid w:val="004E5E49"/>
    <w:rsid w:val="004E7AE7"/>
    <w:rsid w:val="004F15DE"/>
    <w:rsid w:val="004F407A"/>
    <w:rsid w:val="005012B2"/>
    <w:rsid w:val="00533220"/>
    <w:rsid w:val="00553437"/>
    <w:rsid w:val="005573D3"/>
    <w:rsid w:val="0056496F"/>
    <w:rsid w:val="005A0221"/>
    <w:rsid w:val="005A4ABD"/>
    <w:rsid w:val="005B711A"/>
    <w:rsid w:val="005C1957"/>
    <w:rsid w:val="00605675"/>
    <w:rsid w:val="00616447"/>
    <w:rsid w:val="00616961"/>
    <w:rsid w:val="00625FD3"/>
    <w:rsid w:val="00627DFB"/>
    <w:rsid w:val="00636314"/>
    <w:rsid w:val="0063635F"/>
    <w:rsid w:val="00637F36"/>
    <w:rsid w:val="00642584"/>
    <w:rsid w:val="006444DB"/>
    <w:rsid w:val="00651982"/>
    <w:rsid w:val="00660E95"/>
    <w:rsid w:val="00672582"/>
    <w:rsid w:val="0068434D"/>
    <w:rsid w:val="00685C11"/>
    <w:rsid w:val="00693986"/>
    <w:rsid w:val="00696C57"/>
    <w:rsid w:val="006A3AEB"/>
    <w:rsid w:val="006A63A6"/>
    <w:rsid w:val="006B00CA"/>
    <w:rsid w:val="006D02DA"/>
    <w:rsid w:val="006D15D7"/>
    <w:rsid w:val="006D4F55"/>
    <w:rsid w:val="006D6BC5"/>
    <w:rsid w:val="006D6D34"/>
    <w:rsid w:val="006F55B7"/>
    <w:rsid w:val="007145D6"/>
    <w:rsid w:val="00724A62"/>
    <w:rsid w:val="00734706"/>
    <w:rsid w:val="0073717E"/>
    <w:rsid w:val="00740EB9"/>
    <w:rsid w:val="007438A7"/>
    <w:rsid w:val="00744066"/>
    <w:rsid w:val="00754391"/>
    <w:rsid w:val="00760B6C"/>
    <w:rsid w:val="00763091"/>
    <w:rsid w:val="007640FC"/>
    <w:rsid w:val="00772851"/>
    <w:rsid w:val="00772BC1"/>
    <w:rsid w:val="007740F4"/>
    <w:rsid w:val="007903DB"/>
    <w:rsid w:val="007C57D4"/>
    <w:rsid w:val="007D2DC8"/>
    <w:rsid w:val="007D70CD"/>
    <w:rsid w:val="007E254D"/>
    <w:rsid w:val="0081284E"/>
    <w:rsid w:val="008134BD"/>
    <w:rsid w:val="00813B09"/>
    <w:rsid w:val="00815C9B"/>
    <w:rsid w:val="00817D5C"/>
    <w:rsid w:val="00843061"/>
    <w:rsid w:val="00845CC2"/>
    <w:rsid w:val="0084787C"/>
    <w:rsid w:val="008503D7"/>
    <w:rsid w:val="00873A44"/>
    <w:rsid w:val="008770EC"/>
    <w:rsid w:val="008B0AE6"/>
    <w:rsid w:val="008C10C3"/>
    <w:rsid w:val="008C1AC9"/>
    <w:rsid w:val="008C534E"/>
    <w:rsid w:val="008C6946"/>
    <w:rsid w:val="008D0C1C"/>
    <w:rsid w:val="008D1543"/>
    <w:rsid w:val="008E5D5C"/>
    <w:rsid w:val="008F0CF1"/>
    <w:rsid w:val="008F2607"/>
    <w:rsid w:val="00910484"/>
    <w:rsid w:val="00923420"/>
    <w:rsid w:val="00932408"/>
    <w:rsid w:val="00934B9F"/>
    <w:rsid w:val="009355C2"/>
    <w:rsid w:val="00936DD3"/>
    <w:rsid w:val="00936FDC"/>
    <w:rsid w:val="00945392"/>
    <w:rsid w:val="009832C1"/>
    <w:rsid w:val="00984DDB"/>
    <w:rsid w:val="009952A0"/>
    <w:rsid w:val="009A6FD2"/>
    <w:rsid w:val="009B1312"/>
    <w:rsid w:val="009C50A8"/>
    <w:rsid w:val="009D3ACB"/>
    <w:rsid w:val="009E158C"/>
    <w:rsid w:val="009F0FC8"/>
    <w:rsid w:val="009F7ED8"/>
    <w:rsid w:val="00A06559"/>
    <w:rsid w:val="00A07CEB"/>
    <w:rsid w:val="00A1332D"/>
    <w:rsid w:val="00A262D4"/>
    <w:rsid w:val="00A34526"/>
    <w:rsid w:val="00A36BF8"/>
    <w:rsid w:val="00A76561"/>
    <w:rsid w:val="00A82EB8"/>
    <w:rsid w:val="00A84A49"/>
    <w:rsid w:val="00AA4E30"/>
    <w:rsid w:val="00AA6A11"/>
    <w:rsid w:val="00AC6A85"/>
    <w:rsid w:val="00AD54A1"/>
    <w:rsid w:val="00AE793A"/>
    <w:rsid w:val="00AF23B9"/>
    <w:rsid w:val="00AF2C1B"/>
    <w:rsid w:val="00AF2EE0"/>
    <w:rsid w:val="00B028EA"/>
    <w:rsid w:val="00B03FEB"/>
    <w:rsid w:val="00B063F4"/>
    <w:rsid w:val="00B10B3C"/>
    <w:rsid w:val="00B13C1A"/>
    <w:rsid w:val="00B21F17"/>
    <w:rsid w:val="00B235E9"/>
    <w:rsid w:val="00B31063"/>
    <w:rsid w:val="00B35F3A"/>
    <w:rsid w:val="00B43CEF"/>
    <w:rsid w:val="00B4517C"/>
    <w:rsid w:val="00B50B33"/>
    <w:rsid w:val="00B53CD2"/>
    <w:rsid w:val="00B5529F"/>
    <w:rsid w:val="00B61659"/>
    <w:rsid w:val="00B62A12"/>
    <w:rsid w:val="00B92574"/>
    <w:rsid w:val="00BA79A3"/>
    <w:rsid w:val="00BD22B6"/>
    <w:rsid w:val="00BD43FB"/>
    <w:rsid w:val="00BE3EC0"/>
    <w:rsid w:val="00C07219"/>
    <w:rsid w:val="00C213EE"/>
    <w:rsid w:val="00C34670"/>
    <w:rsid w:val="00C357AF"/>
    <w:rsid w:val="00C35CF8"/>
    <w:rsid w:val="00C36BE7"/>
    <w:rsid w:val="00C51518"/>
    <w:rsid w:val="00C7289B"/>
    <w:rsid w:val="00C83C90"/>
    <w:rsid w:val="00C85CBD"/>
    <w:rsid w:val="00C860C9"/>
    <w:rsid w:val="00CB0E78"/>
    <w:rsid w:val="00CC2277"/>
    <w:rsid w:val="00CD6C64"/>
    <w:rsid w:val="00CE40B8"/>
    <w:rsid w:val="00D0627E"/>
    <w:rsid w:val="00D06A5B"/>
    <w:rsid w:val="00D277B7"/>
    <w:rsid w:val="00D320AD"/>
    <w:rsid w:val="00D3507A"/>
    <w:rsid w:val="00D42C6C"/>
    <w:rsid w:val="00D515C6"/>
    <w:rsid w:val="00D610B0"/>
    <w:rsid w:val="00D62426"/>
    <w:rsid w:val="00D713D1"/>
    <w:rsid w:val="00D74B39"/>
    <w:rsid w:val="00D86C61"/>
    <w:rsid w:val="00D9356C"/>
    <w:rsid w:val="00D97304"/>
    <w:rsid w:val="00DA4FE5"/>
    <w:rsid w:val="00DA5B4D"/>
    <w:rsid w:val="00DB54EA"/>
    <w:rsid w:val="00DC3607"/>
    <w:rsid w:val="00E02C31"/>
    <w:rsid w:val="00E25ECB"/>
    <w:rsid w:val="00E340FB"/>
    <w:rsid w:val="00E42DEA"/>
    <w:rsid w:val="00E5004C"/>
    <w:rsid w:val="00E52C81"/>
    <w:rsid w:val="00E610BF"/>
    <w:rsid w:val="00E754DD"/>
    <w:rsid w:val="00E800E1"/>
    <w:rsid w:val="00E916CB"/>
    <w:rsid w:val="00E951D8"/>
    <w:rsid w:val="00E979FF"/>
    <w:rsid w:val="00EA3820"/>
    <w:rsid w:val="00EA4A6E"/>
    <w:rsid w:val="00EA56C1"/>
    <w:rsid w:val="00EA7F31"/>
    <w:rsid w:val="00EB13EC"/>
    <w:rsid w:val="00EB585D"/>
    <w:rsid w:val="00EE6272"/>
    <w:rsid w:val="00F00BE0"/>
    <w:rsid w:val="00F112E5"/>
    <w:rsid w:val="00F20808"/>
    <w:rsid w:val="00F24939"/>
    <w:rsid w:val="00F26DF9"/>
    <w:rsid w:val="00F302B1"/>
    <w:rsid w:val="00F37BDE"/>
    <w:rsid w:val="00F437F8"/>
    <w:rsid w:val="00F44DE2"/>
    <w:rsid w:val="00F61CF4"/>
    <w:rsid w:val="00F74E47"/>
    <w:rsid w:val="00F76C59"/>
    <w:rsid w:val="00F912CD"/>
    <w:rsid w:val="00FA57AE"/>
    <w:rsid w:val="00FA67C7"/>
    <w:rsid w:val="00FB1A30"/>
    <w:rsid w:val="00FB65F0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paragraph" w:customStyle="1" w:styleId="Doc-text2">
    <w:name w:val="Doc-text2"/>
    <w:basedOn w:val="a"/>
    <w:link w:val="Doc-text2Char"/>
    <w:qFormat/>
    <w:rsid w:val="00FF48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F4806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CRCoverPage">
    <w:name w:val="CR Cover Page"/>
    <w:link w:val="CRCoverPageZchn"/>
    <w:rsid w:val="00CC2277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CC2277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qFormat/>
    <w:rsid w:val="00CB0E78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정성훈/책임연구원/차세대표준(연)5G표준Task(sunghoon.jung@lge.com)</cp:lastModifiedBy>
  <cp:revision>31</cp:revision>
  <dcterms:created xsi:type="dcterms:W3CDTF">2019-08-16T04:10:00Z</dcterms:created>
  <dcterms:modified xsi:type="dcterms:W3CDTF">2020-02-14T04:37:00Z</dcterms:modified>
</cp:coreProperties>
</file>